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7F75" w:rsidRDefault="002C2F9D">
      <w:pPr>
        <w:widowControl w:val="0"/>
        <w:jc w:val="center"/>
      </w:pPr>
      <w:r>
        <w:rPr>
          <w:rFonts w:ascii="Bowlby One SC" w:eastAsia="Bowlby One SC" w:hAnsi="Bowlby One SC" w:cs="Bowlby One SC"/>
          <w:sz w:val="48"/>
          <w:szCs w:val="48"/>
        </w:rPr>
        <w:t>PRINCIPLES OF DEPTH AND PERCEPTION</w:t>
      </w:r>
    </w:p>
    <w:p w:rsidR="00F57F75" w:rsidRDefault="002C2F9D">
      <w:pPr>
        <w:widowControl w:val="0"/>
      </w:pPr>
      <w:r>
        <w:rPr>
          <w:u w:val="single"/>
        </w:rPr>
        <w:t>Directions</w:t>
      </w:r>
      <w:r>
        <w:t xml:space="preserve">: As you look through the website, provide a description of each depth cue, and an example of the concept ON YOUR </w:t>
      </w:r>
    </w:p>
    <w:p w:rsidR="00F57F75" w:rsidRDefault="002C2F9D">
      <w:pPr>
        <w:widowControl w:val="0"/>
      </w:pPr>
      <w:r>
        <w:t xml:space="preserve">                  OWN.  </w:t>
      </w:r>
      <w:hyperlink r:id="rId5" w:history="1">
        <w:r w:rsidR="0025637F" w:rsidRPr="00E52D28">
          <w:rPr>
            <w:rStyle w:val="Hyperlink"/>
          </w:rPr>
          <w:t>http://www.eruptingmind.com/depth-perception-cues-other-forms-of-perception/</w:t>
        </w:r>
      </w:hyperlink>
      <w:r w:rsidR="0025637F">
        <w:t xml:space="preserve"> </w:t>
      </w:r>
      <w:bookmarkStart w:id="0" w:name="_GoBack"/>
      <w:bookmarkEnd w:id="0"/>
    </w:p>
    <w:p w:rsidR="00F57F75" w:rsidRDefault="00F57F75">
      <w:pPr>
        <w:widowControl w:val="0"/>
      </w:pPr>
    </w:p>
    <w:tbl>
      <w:tblPr>
        <w:tblStyle w:val="a"/>
        <w:tblW w:w="13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5320"/>
      </w:tblGrid>
      <w:tr w:rsidR="00F57F75" w:rsidTr="00400508">
        <w:tc>
          <w:tcPr>
            <w:tcW w:w="4320" w:type="dxa"/>
            <w:tcMar>
              <w:top w:w="100" w:type="dxa"/>
              <w:left w:w="100" w:type="dxa"/>
              <w:bottom w:w="100" w:type="dxa"/>
              <w:right w:w="100" w:type="dxa"/>
            </w:tcMar>
          </w:tcPr>
          <w:p w:rsidR="00F57F75" w:rsidRDefault="00F57F75">
            <w:pPr>
              <w:widowControl w:val="0"/>
              <w:spacing w:line="240" w:lineRule="auto"/>
              <w:jc w:val="center"/>
            </w:pPr>
          </w:p>
        </w:tc>
        <w:tc>
          <w:tcPr>
            <w:tcW w:w="4320" w:type="dxa"/>
            <w:tcMar>
              <w:top w:w="100" w:type="dxa"/>
              <w:left w:w="100" w:type="dxa"/>
              <w:bottom w:w="100" w:type="dxa"/>
              <w:right w:w="100" w:type="dxa"/>
            </w:tcMar>
          </w:tcPr>
          <w:p w:rsidR="00F57F75" w:rsidRDefault="002C2F9D">
            <w:pPr>
              <w:widowControl w:val="0"/>
              <w:spacing w:line="240" w:lineRule="auto"/>
              <w:jc w:val="center"/>
            </w:pPr>
            <w:r>
              <w:rPr>
                <w:rFonts w:ascii="Bowlby One SC" w:eastAsia="Bowlby One SC" w:hAnsi="Bowlby One SC" w:cs="Bowlby One SC"/>
                <w:b/>
                <w:sz w:val="28"/>
                <w:szCs w:val="28"/>
                <w:u w:val="single"/>
              </w:rPr>
              <w:t>Description</w:t>
            </w:r>
          </w:p>
        </w:tc>
        <w:tc>
          <w:tcPr>
            <w:tcW w:w="5320" w:type="dxa"/>
            <w:tcMar>
              <w:top w:w="100" w:type="dxa"/>
              <w:left w:w="100" w:type="dxa"/>
              <w:bottom w:w="100" w:type="dxa"/>
              <w:right w:w="100" w:type="dxa"/>
            </w:tcMar>
          </w:tcPr>
          <w:p w:rsidR="00F57F75" w:rsidRDefault="002C2F9D">
            <w:pPr>
              <w:widowControl w:val="0"/>
              <w:spacing w:line="240" w:lineRule="auto"/>
              <w:jc w:val="center"/>
            </w:pPr>
            <w:r>
              <w:rPr>
                <w:rFonts w:ascii="Bowlby One SC" w:eastAsia="Bowlby One SC" w:hAnsi="Bowlby One SC" w:cs="Bowlby One SC"/>
                <w:b/>
                <w:sz w:val="24"/>
                <w:szCs w:val="24"/>
                <w:u w:val="single"/>
              </w:rPr>
              <w:t>Example of Concept</w:t>
            </w:r>
          </w:p>
        </w:tc>
      </w:tr>
      <w:tr w:rsidR="00F57F75" w:rsidTr="00400508">
        <w:tc>
          <w:tcPr>
            <w:tcW w:w="4320" w:type="dxa"/>
            <w:tcMar>
              <w:top w:w="100" w:type="dxa"/>
              <w:left w:w="100" w:type="dxa"/>
              <w:bottom w:w="100" w:type="dxa"/>
              <w:right w:w="100" w:type="dxa"/>
            </w:tcMar>
          </w:tcPr>
          <w:p w:rsidR="00F57F75" w:rsidRDefault="002C2F9D">
            <w:pPr>
              <w:widowControl w:val="0"/>
              <w:spacing w:line="240" w:lineRule="auto"/>
            </w:pPr>
            <w:r>
              <w:rPr>
                <w:rFonts w:ascii="Bowlby One SC" w:eastAsia="Bowlby One SC" w:hAnsi="Bowlby One SC" w:cs="Bowlby One SC"/>
                <w:b/>
                <w:sz w:val="24"/>
                <w:szCs w:val="24"/>
                <w:u w:val="single"/>
              </w:rPr>
              <w:t>BINOCULAR CUE</w:t>
            </w: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Retinal Disparity</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2C2F9D">
            <w:pPr>
              <w:widowControl w:val="0"/>
              <w:spacing w:line="240" w:lineRule="auto"/>
            </w:pPr>
            <w:r>
              <w:rPr>
                <w:rFonts w:ascii="Bowlby One SC" w:eastAsia="Bowlby One SC" w:hAnsi="Bowlby One SC" w:cs="Bowlby One SC"/>
                <w:b/>
                <w:sz w:val="24"/>
                <w:szCs w:val="24"/>
                <w:u w:val="single"/>
              </w:rPr>
              <w:t>monOCULAR CUE</w:t>
            </w: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Linear Perspective</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Interposition</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Texture Gradient</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Motion Parallax</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Size Constancy</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Relative Size</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2C2F9D">
            <w:pPr>
              <w:widowControl w:val="0"/>
              <w:spacing w:line="240" w:lineRule="auto"/>
            </w:pPr>
            <w:r>
              <w:rPr>
                <w:color w:val="444444"/>
                <w:sz w:val="20"/>
                <w:szCs w:val="20"/>
                <w:highlight w:val="white"/>
              </w:rPr>
              <w:t>If two objects are roughly the same size, the object that looks the largest will be judged as being the closest to the observer</w:t>
            </w:r>
          </w:p>
        </w:tc>
        <w:tc>
          <w:tcPr>
            <w:tcW w:w="5320" w:type="dxa"/>
            <w:tcMar>
              <w:top w:w="100" w:type="dxa"/>
              <w:left w:w="100" w:type="dxa"/>
              <w:bottom w:w="100" w:type="dxa"/>
              <w:right w:w="100" w:type="dxa"/>
            </w:tcMar>
          </w:tcPr>
          <w:p w:rsidR="00F57F75" w:rsidRDefault="002C2F9D">
            <w:pPr>
              <w:widowControl w:val="0"/>
              <w:spacing w:line="240" w:lineRule="auto"/>
            </w:pPr>
            <w:r>
              <w:rPr>
                <w:sz w:val="20"/>
                <w:szCs w:val="20"/>
                <w:highlight w:val="white"/>
              </w:rPr>
              <w:t xml:space="preserve">This is why the moon seems bigger and farther away when it is near the horizon than when it is high in the sky. We use buildings, trees and other objects of known size to make judgements about the size/distance of the moon. When the moon is higher in the sky there are no known frames of references to judge it’s closeness, and thus, it appears smaller and closer to us. </w:t>
            </w:r>
          </w:p>
        </w:tc>
      </w:tr>
      <w:tr w:rsidR="00F57F75" w:rsidTr="00400508">
        <w:tc>
          <w:tcPr>
            <w:tcW w:w="4320" w:type="dxa"/>
            <w:tcMar>
              <w:top w:w="100" w:type="dxa"/>
              <w:left w:w="100" w:type="dxa"/>
              <w:bottom w:w="100" w:type="dxa"/>
              <w:right w:w="100" w:type="dxa"/>
            </w:tcMar>
          </w:tcPr>
          <w:p w:rsidR="00F57F75" w:rsidRDefault="002C2F9D">
            <w:pPr>
              <w:widowControl w:val="0"/>
              <w:spacing w:line="240" w:lineRule="auto"/>
            </w:pPr>
            <w:r>
              <w:rPr>
                <w:rFonts w:ascii="Bowlby One SC" w:eastAsia="Bowlby One SC" w:hAnsi="Bowlby One SC" w:cs="Bowlby One SC"/>
                <w:b/>
                <w:sz w:val="24"/>
                <w:szCs w:val="24"/>
                <w:u w:val="single"/>
              </w:rPr>
              <w:lastRenderedPageBreak/>
              <w:t>Gestalt Principles</w:t>
            </w:r>
          </w:p>
        </w:tc>
        <w:tc>
          <w:tcPr>
            <w:tcW w:w="4320" w:type="dxa"/>
            <w:tcMar>
              <w:top w:w="100" w:type="dxa"/>
              <w:left w:w="100" w:type="dxa"/>
              <w:bottom w:w="100" w:type="dxa"/>
              <w:right w:w="100" w:type="dxa"/>
            </w:tcMar>
          </w:tcPr>
          <w:p w:rsidR="00F57F75" w:rsidRDefault="00F57F75">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Figure Ground</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Proximity</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Similarity</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r w:rsidR="00F57F75" w:rsidTr="00400508">
        <w:tc>
          <w:tcPr>
            <w:tcW w:w="4320" w:type="dxa"/>
            <w:tcMar>
              <w:top w:w="100" w:type="dxa"/>
              <w:left w:w="100" w:type="dxa"/>
              <w:bottom w:w="100" w:type="dxa"/>
              <w:right w:w="100" w:type="dxa"/>
            </w:tcMar>
          </w:tcPr>
          <w:p w:rsidR="00F57F75" w:rsidRDefault="00F57F75">
            <w:pPr>
              <w:widowControl w:val="0"/>
              <w:spacing w:line="240" w:lineRule="auto"/>
            </w:pPr>
          </w:p>
          <w:p w:rsidR="00F57F75" w:rsidRDefault="002C2F9D">
            <w:pPr>
              <w:widowControl w:val="0"/>
              <w:spacing w:line="240" w:lineRule="auto"/>
            </w:pPr>
            <w:r>
              <w:t>Closure</w:t>
            </w:r>
          </w:p>
          <w:p w:rsidR="00F57F75" w:rsidRDefault="00F57F75">
            <w:pPr>
              <w:widowControl w:val="0"/>
              <w:spacing w:line="240" w:lineRule="auto"/>
            </w:pPr>
          </w:p>
        </w:tc>
        <w:tc>
          <w:tcPr>
            <w:tcW w:w="4320" w:type="dxa"/>
            <w:tcMar>
              <w:top w:w="100" w:type="dxa"/>
              <w:left w:w="100" w:type="dxa"/>
              <w:bottom w:w="100" w:type="dxa"/>
              <w:right w:w="100" w:type="dxa"/>
            </w:tcMar>
          </w:tcPr>
          <w:p w:rsidR="00F57F75" w:rsidRDefault="00F57F75">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p w:rsidR="00400508" w:rsidRDefault="00400508">
            <w:pPr>
              <w:widowControl w:val="0"/>
              <w:spacing w:line="240" w:lineRule="auto"/>
            </w:pPr>
          </w:p>
        </w:tc>
        <w:tc>
          <w:tcPr>
            <w:tcW w:w="5320" w:type="dxa"/>
            <w:tcMar>
              <w:top w:w="100" w:type="dxa"/>
              <w:left w:w="100" w:type="dxa"/>
              <w:bottom w:w="100" w:type="dxa"/>
              <w:right w:w="100" w:type="dxa"/>
            </w:tcMar>
          </w:tcPr>
          <w:p w:rsidR="00F57F75" w:rsidRDefault="00F57F75">
            <w:pPr>
              <w:widowControl w:val="0"/>
              <w:spacing w:line="240" w:lineRule="auto"/>
            </w:pPr>
          </w:p>
        </w:tc>
      </w:tr>
    </w:tbl>
    <w:p w:rsidR="00F57F75" w:rsidRDefault="00F57F75">
      <w:pPr>
        <w:widowControl w:val="0"/>
      </w:pPr>
    </w:p>
    <w:p w:rsidR="00400508" w:rsidRDefault="00400508">
      <w:pPr>
        <w:widowControl w:val="0"/>
      </w:pPr>
    </w:p>
    <w:sectPr w:rsidR="00400508" w:rsidSect="00400508">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wlby One S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57F75"/>
    <w:rsid w:val="0025637F"/>
    <w:rsid w:val="002C2F9D"/>
    <w:rsid w:val="00400508"/>
    <w:rsid w:val="00F5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56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56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uptingmind.com/depth-perception-cues-other-forms-of-perce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Kayla    LHS - Staff</dc:creator>
  <cp:lastModifiedBy>Phillips, Kayla    LHS - Staff</cp:lastModifiedBy>
  <cp:revision>4</cp:revision>
  <cp:lastPrinted>2015-11-12T17:52:00Z</cp:lastPrinted>
  <dcterms:created xsi:type="dcterms:W3CDTF">2015-10-27T15:55:00Z</dcterms:created>
  <dcterms:modified xsi:type="dcterms:W3CDTF">2015-11-13T15:56:00Z</dcterms:modified>
</cp:coreProperties>
</file>